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b/>
          <w:color w:val="F18D1D"/>
          <w:sz w:val="36"/>
          <w:szCs w:val="3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-69849</wp:posOffset>
                </wp:positionH>
                <wp:positionV relativeFrom="margin">
                  <wp:posOffset>-327024</wp:posOffset>
                </wp:positionV>
                <wp:extent cx="6540500" cy="2225675"/>
                <wp:effectExtent l="0" t="0" r="0" b="0"/>
                <wp:wrapSquare wrapText="bothSides" distT="0" distB="0" distL="114300" distR="114300"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00" y="2698913"/>
                          <a:ext cx="64770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4257C" w:rsidRDefault="00FB59C9">
                            <w:pPr>
                              <w:spacing w:before="80" w:after="0" w:line="258" w:lineRule="auto"/>
                              <w:ind w:hanging="2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000000"/>
                                <w:sz w:val="20"/>
                              </w:rPr>
                              <w:t>PROVINCIA DE BUENOS AIRES</w:t>
                            </w:r>
                          </w:p>
                          <w:p w:rsidR="0004257C" w:rsidRDefault="00FB59C9">
                            <w:pPr>
                              <w:spacing w:before="80" w:after="0" w:line="258" w:lineRule="auto"/>
                              <w:ind w:hanging="2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000000"/>
                                <w:sz w:val="20"/>
                              </w:rPr>
                              <w:t>DIRECCIÓN GENERAL DE CULTURA Y EDUCACIÓN</w:t>
                            </w:r>
                          </w:p>
                          <w:p w:rsidR="0004257C" w:rsidRDefault="00FB59C9">
                            <w:pPr>
                              <w:spacing w:before="80" w:after="0" w:line="258" w:lineRule="auto"/>
                              <w:ind w:hanging="2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000000"/>
                                <w:sz w:val="20"/>
                              </w:rPr>
                              <w:t xml:space="preserve">INSTITUTO SUPERIOR DE FORMACIÓN DOCENTE </w:t>
                            </w:r>
                          </w:p>
                          <w:p w:rsidR="0004257C" w:rsidRDefault="00FB59C9">
                            <w:pPr>
                              <w:spacing w:before="80" w:after="0" w:line="258" w:lineRule="auto"/>
                              <w:ind w:hanging="2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000000"/>
                                <w:sz w:val="20"/>
                              </w:rPr>
                              <w:t>Y TÉCNICA N°46 “2 DE ABRIL DE 1982”</w:t>
                            </w:r>
                          </w:p>
                          <w:p w:rsidR="0004257C" w:rsidRDefault="00FB59C9">
                            <w:pPr>
                              <w:spacing w:before="80" w:after="0" w:line="258" w:lineRule="auto"/>
                              <w:ind w:hanging="2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000000"/>
                                <w:sz w:val="20"/>
                              </w:rPr>
                              <w:t>UNIASIGNATURA: ECONOMÍA POLÍTICA</w:t>
                            </w:r>
                          </w:p>
                          <w:p w:rsidR="0004257C" w:rsidRDefault="00FB59C9">
                            <w:pPr>
                              <w:spacing w:before="80" w:after="0" w:line="258" w:lineRule="auto"/>
                              <w:ind w:hanging="2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000000"/>
                                <w:sz w:val="20"/>
                              </w:rPr>
                              <w:t>CURSO: 2º</w:t>
                            </w:r>
                          </w:p>
                          <w:p w:rsidR="0004257C" w:rsidRDefault="00FB59C9">
                            <w:pPr>
                              <w:spacing w:before="80" w:after="0" w:line="258" w:lineRule="auto"/>
                              <w:ind w:hanging="2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000000"/>
                                <w:sz w:val="20"/>
                              </w:rPr>
                              <w:t>CICLO LECTIVO: 2025</w:t>
                            </w:r>
                          </w:p>
                          <w:p w:rsidR="0004257C" w:rsidRDefault="00FB59C9">
                            <w:pPr>
                              <w:spacing w:before="80" w:after="0" w:line="258" w:lineRule="auto"/>
                              <w:ind w:hanging="2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color w:val="000000"/>
                                <w:sz w:val="20"/>
                              </w:rPr>
                              <w:t>PROFESOR: J. IGNACIO GONZÁLEZ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-69849</wp:posOffset>
                </wp:positionH>
                <wp:positionV relativeFrom="margin">
                  <wp:posOffset>-327024</wp:posOffset>
                </wp:positionV>
                <wp:extent cx="6540500" cy="2225675"/>
                <wp:effectExtent b="0" l="0" r="0" t="0"/>
                <wp:wrapSquare wrapText="bothSides" distB="0" distT="0" distL="114300" distR="11430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0500" cy="2225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4152900</wp:posOffset>
            </wp:positionH>
            <wp:positionV relativeFrom="paragraph">
              <wp:posOffset>1</wp:posOffset>
            </wp:positionV>
            <wp:extent cx="1737360" cy="1685925"/>
            <wp:effectExtent l="0" t="0" r="0" b="0"/>
            <wp:wrapSquare wrapText="bothSides" distT="114300" distB="114300" distL="114300" distR="11430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Roboto" w:eastAsia="Roboto" w:hAnsi="Roboto" w:cs="Roboto"/>
          <w:b/>
          <w:color w:val="585757"/>
          <w:sz w:val="26"/>
          <w:szCs w:val="26"/>
        </w:rPr>
        <w:t xml:space="preserve">Formato: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Asignatura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Roboto" w:eastAsia="Roboto" w:hAnsi="Roboto" w:cs="Roboto"/>
          <w:b/>
          <w:color w:val="585757"/>
          <w:sz w:val="26"/>
          <w:szCs w:val="26"/>
        </w:rPr>
        <w:t xml:space="preserve">Régimen de cursada: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Anual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Roboto" w:eastAsia="Roboto" w:hAnsi="Roboto" w:cs="Roboto"/>
          <w:b/>
          <w:color w:val="585757"/>
          <w:sz w:val="26"/>
          <w:szCs w:val="26"/>
        </w:rPr>
        <w:t xml:space="preserve">Ubicación en el diseño curricular: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2° año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Roboto" w:eastAsia="Roboto" w:hAnsi="Roboto" w:cs="Roboto"/>
          <w:b/>
          <w:color w:val="585757"/>
          <w:sz w:val="26"/>
          <w:szCs w:val="26"/>
        </w:rPr>
        <w:t xml:space="preserve">Asignación de horas total y semanal: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64 hs (2 hs semanales)</w:t>
      </w:r>
    </w:p>
    <w:p w:rsidR="0004257C" w:rsidRDefault="0004257C">
      <w:pPr>
        <w:spacing w:before="240" w:after="0" w:line="276" w:lineRule="auto"/>
        <w:rPr>
          <w:rFonts w:ascii="Times New Roman" w:eastAsia="Times New Roman" w:hAnsi="Times New Roman" w:cs="Times New Roman"/>
          <w:color w:val="585757"/>
          <w:sz w:val="26"/>
          <w:szCs w:val="26"/>
        </w:rPr>
      </w:pPr>
    </w:p>
    <w:p w:rsidR="0004257C" w:rsidRDefault="0004257C">
      <w:pPr>
        <w:spacing w:before="240" w:after="0" w:line="276" w:lineRule="auto"/>
        <w:rPr>
          <w:rFonts w:ascii="Times New Roman" w:eastAsia="Times New Roman" w:hAnsi="Times New Roman" w:cs="Times New Roman"/>
          <w:color w:val="585757"/>
          <w:sz w:val="26"/>
          <w:szCs w:val="26"/>
        </w:rPr>
      </w:pPr>
    </w:p>
    <w:p w:rsidR="0004257C" w:rsidRDefault="00FB59C9">
      <w:pPr>
        <w:spacing w:after="0" w:line="276" w:lineRule="auto"/>
        <w:ind w:left="1080" w:hanging="360"/>
        <w:jc w:val="center"/>
        <w:rPr>
          <w:rFonts w:ascii="Encode Sans" w:eastAsia="Encode Sans" w:hAnsi="Encode Sans" w:cs="Encode Sans"/>
          <w:b/>
          <w:sz w:val="32"/>
          <w:szCs w:val="32"/>
        </w:rPr>
      </w:pPr>
      <w:r>
        <w:rPr>
          <w:rFonts w:ascii="Encode Sans" w:eastAsia="Encode Sans" w:hAnsi="Encode Sans" w:cs="Encode Sans"/>
          <w:b/>
          <w:sz w:val="32"/>
          <w:szCs w:val="32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Encode Sans" w:eastAsia="Encode Sans" w:hAnsi="Encode Sans" w:cs="Encode Sans"/>
          <w:b/>
          <w:sz w:val="32"/>
          <w:szCs w:val="32"/>
        </w:rPr>
        <w:t>Fundamentación</w:t>
      </w:r>
    </w:p>
    <w:p w:rsidR="0004257C" w:rsidRDefault="00FB59C9">
      <w:pPr>
        <w:spacing w:before="240" w:after="0" w:line="276" w:lineRule="auto"/>
        <w:ind w:firstLine="7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 unidad curricular aborda una serie de conceptos, categorías y problemas fundamentales de la economía política, desde distintos enfoques teóricos con el objeto de contribuir a la sesión y el análisis de las relaciones sociales de producción distribució</w:t>
      </w:r>
      <w:r>
        <w:rPr>
          <w:rFonts w:ascii="Arial" w:eastAsia="Arial" w:hAnsi="Arial" w:cs="Arial"/>
          <w:sz w:val="20"/>
          <w:szCs w:val="20"/>
        </w:rPr>
        <w:t xml:space="preserve">n y consumo. Promoviendo una perspectiva crítica que reconozca las transformaciones económicas a lo largo del devenir histórico, desde un enfoque territorial y tan especial interés en el análisis de las sociedades latinoamericanas. </w:t>
      </w:r>
    </w:p>
    <w:p w:rsidR="0004257C" w:rsidRDefault="00FB59C9">
      <w:pPr>
        <w:spacing w:before="240" w:after="0" w:line="276" w:lineRule="auto"/>
        <w:ind w:firstLine="7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Esta unidad curricular </w:t>
      </w:r>
      <w:r>
        <w:rPr>
          <w:rFonts w:ascii="Arial" w:eastAsia="Arial" w:hAnsi="Arial" w:cs="Arial"/>
          <w:sz w:val="20"/>
          <w:szCs w:val="20"/>
        </w:rPr>
        <w:t>brinda al futuro docente las herramientas y categorías en clave económica, para la interpretación del pasado histórico, la realidad social y su contexto, en el abordaje de aúlico. Considerando las múltiples dimensiones y configuraciones territoriales, en l</w:t>
      </w:r>
      <w:r>
        <w:rPr>
          <w:rFonts w:ascii="Arial" w:eastAsia="Arial" w:hAnsi="Arial" w:cs="Arial"/>
          <w:sz w:val="20"/>
          <w:szCs w:val="20"/>
        </w:rPr>
        <w:t>as que se marca la práctica docente.</w:t>
      </w:r>
    </w:p>
    <w:p w:rsidR="0004257C" w:rsidRDefault="00FB59C9">
      <w:pPr>
        <w:spacing w:before="240" w:after="240" w:line="276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el marco del actual contexto, los partidarios de una economía de mercado señalan al mercado como el más adecuado asignador de recursos, exigiendo una subordinación de la sociedad y de la política a su propia dinámica</w:t>
      </w:r>
      <w:r>
        <w:rPr>
          <w:rFonts w:ascii="Arial" w:eastAsia="Arial" w:hAnsi="Arial" w:cs="Arial"/>
          <w:sz w:val="20"/>
          <w:szCs w:val="20"/>
        </w:rPr>
        <w:t>. En la medida en que la ciencia económica (clásica y neoclásica) es la teorización de lo que considera la economía política, se encuentra sosteniendo la inevitabilidad de las leyes que la conforman. Convirtiéndose de esta manera, en el instrumento polític</w:t>
      </w:r>
      <w:r>
        <w:rPr>
          <w:rFonts w:ascii="Arial" w:eastAsia="Arial" w:hAnsi="Arial" w:cs="Arial"/>
          <w:sz w:val="20"/>
          <w:szCs w:val="20"/>
        </w:rPr>
        <w:t>o-ideológico de su defensa y extensión a todas las áreas de la vida social.</w:t>
      </w:r>
    </w:p>
    <w:p w:rsidR="0004257C" w:rsidRDefault="00FB59C9">
      <w:pPr>
        <w:spacing w:before="240" w:after="240" w:line="276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Cabe señalar que esta unidad curricular mantiene una relación tensionada y crítica frente a estos postulados económicos del liberalismo y plantea asumir un marco referencial que considere a la economía política como una construcción social, tanto en el pla</w:t>
      </w:r>
      <w:r>
        <w:rPr>
          <w:rFonts w:ascii="Arial" w:eastAsia="Arial" w:hAnsi="Arial" w:cs="Arial"/>
          <w:sz w:val="20"/>
          <w:szCs w:val="20"/>
        </w:rPr>
        <w:t>no de su comportamiento real como de disciplina. De este modo, la Economía Política toma por su base la crítica a los postulados y principios que la conciben como una realidad y un dominio científico puro e independiente de la sociedad que la produce.</w:t>
      </w:r>
    </w:p>
    <w:p w:rsidR="0004257C" w:rsidRDefault="00FB59C9">
      <w:pPr>
        <w:spacing w:before="240" w:after="240" w:line="276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De e</w:t>
      </w:r>
      <w:r>
        <w:rPr>
          <w:rFonts w:ascii="Arial" w:eastAsia="Arial" w:hAnsi="Arial" w:cs="Arial"/>
          <w:sz w:val="20"/>
          <w:szCs w:val="20"/>
        </w:rPr>
        <w:t>sta forma, la enseñanza de la economía política demanda una serie de reflexiones que deben permitir al futuro docente, superar la fragmentación y especialización de su conocimiento habitualmente enmarcado en consideraciones cientificistas, sin consideració</w:t>
      </w:r>
      <w:r>
        <w:rPr>
          <w:rFonts w:ascii="Arial" w:eastAsia="Arial" w:hAnsi="Arial" w:cs="Arial"/>
          <w:sz w:val="20"/>
          <w:szCs w:val="20"/>
        </w:rPr>
        <w:t>n del lugar que la ideología cumple en los planteos teóricos y metodológicos. La unidad curricular  debe contribuir a que el futuro docente, además de reconocer algunas de las principales leyes de la economía y sus actores fundamentales, elabore un punto d</w:t>
      </w:r>
      <w:r>
        <w:rPr>
          <w:rFonts w:ascii="Arial" w:eastAsia="Arial" w:hAnsi="Arial" w:cs="Arial"/>
          <w:sz w:val="20"/>
          <w:szCs w:val="20"/>
        </w:rPr>
        <w:t>e vista por el cual pueda descubrir el entramado social y político de poder que subyace y alimenta las relaciones sociales, que son la base de la economía en el contexto de una cultura y sociedad.</w:t>
      </w:r>
    </w:p>
    <w:p w:rsidR="0004257C" w:rsidRDefault="00FB59C9">
      <w:pPr>
        <w:spacing w:before="240" w:after="240" w:line="276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enseñanza de esta unidad curricular trata de adecuar los</w:t>
      </w:r>
      <w:r>
        <w:rPr>
          <w:rFonts w:ascii="Arial" w:eastAsia="Arial" w:hAnsi="Arial" w:cs="Arial"/>
          <w:sz w:val="20"/>
          <w:szCs w:val="20"/>
        </w:rPr>
        <w:t xml:space="preserve"> planteamientos científicos de la disciplina y establecer las mediaciones necesarias para que logren significatividad lógica y epistemológica en la construcción de un conocimiento.</w:t>
      </w:r>
    </w:p>
    <w:p w:rsidR="0004257C" w:rsidRDefault="00FB59C9">
      <w:pPr>
        <w:spacing w:before="240" w:after="240" w:line="276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 este modo, es importante que el futuro docente se introduzca y pueda pro</w:t>
      </w:r>
      <w:r>
        <w:rPr>
          <w:rFonts w:ascii="Arial" w:eastAsia="Arial" w:hAnsi="Arial" w:cs="Arial"/>
          <w:sz w:val="20"/>
          <w:szCs w:val="20"/>
        </w:rPr>
        <w:t>fundizar los lineamientos y las teorías económicas fundamentales, así como sus núcleos de discusión; el conocimiento de los componentes conceptuales y procedimentales relevantes de esta ciencia; los problemas del desarrollo y la conformación de un mundo de</w:t>
      </w:r>
      <w:r>
        <w:rPr>
          <w:rFonts w:ascii="Arial" w:eastAsia="Arial" w:hAnsi="Arial" w:cs="Arial"/>
          <w:sz w:val="20"/>
          <w:szCs w:val="20"/>
        </w:rPr>
        <w:t>sigual de acuerdo con las relaciones de fuerza y poder que emanan de lo económico; el análisis económico político y social de la Argentina contemporánea aprovechando las teorías y los núcleos de discusión más relevantes, determinadas herramientas conceptua</w:t>
      </w:r>
      <w:r>
        <w:rPr>
          <w:rFonts w:ascii="Arial" w:eastAsia="Arial" w:hAnsi="Arial" w:cs="Arial"/>
          <w:sz w:val="20"/>
          <w:szCs w:val="20"/>
        </w:rPr>
        <w:t>les y sus relaciones con el problema del desarrollo desigual y la globalización neoliberal.</w:t>
      </w:r>
    </w:p>
    <w:p w:rsidR="0004257C" w:rsidRDefault="00FB59C9">
      <w:pPr>
        <w:spacing w:before="240" w:after="240" w:line="276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 unidad curricular forma parte del tramo común compartido entre los Profesorados de Historia, Geografía y Ciencia Política. Aborda una serie de conceptos, categ</w:t>
      </w:r>
      <w:r>
        <w:rPr>
          <w:rFonts w:ascii="Arial" w:eastAsia="Arial" w:hAnsi="Arial" w:cs="Arial"/>
          <w:sz w:val="20"/>
          <w:szCs w:val="20"/>
        </w:rPr>
        <w:t>orías y problemas fundamentales de la disciplina distintos enfoques teóricos, como el valor, el excedente, la distribución, el desarrollo y la división internacional del trabajo, con el objeto de contribuir a la problematización y análisis de las relacione</w:t>
      </w:r>
      <w:r>
        <w:rPr>
          <w:rFonts w:ascii="Arial" w:eastAsia="Arial" w:hAnsi="Arial" w:cs="Arial"/>
          <w:sz w:val="20"/>
          <w:szCs w:val="20"/>
        </w:rPr>
        <w:t>s sociales de producción, distribución y consumo. Promueve una perspectiva crítica que reconoce las transformaciones económicas a lo largo del devenir histórico reciente desde un enfoque territorial, con especial interés en el análisis de las sociedades la</w:t>
      </w:r>
      <w:r>
        <w:rPr>
          <w:rFonts w:ascii="Arial" w:eastAsia="Arial" w:hAnsi="Arial" w:cs="Arial"/>
          <w:sz w:val="20"/>
          <w:szCs w:val="20"/>
        </w:rPr>
        <w:t>tinoamericanas.</w:t>
      </w:r>
    </w:p>
    <w:p w:rsidR="0004257C" w:rsidRDefault="00FB59C9">
      <w:pPr>
        <w:spacing w:before="240" w:after="240" w:line="276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 esta manera, esta unidad curricular brinda herramientas y categorías necesarias en clave económica, para la interpretación del pasado histórico, la realidad social y su contexto, en el abordaje áulico.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F4F4F"/>
          <w:sz w:val="26"/>
          <w:szCs w:val="26"/>
        </w:rPr>
      </w:pPr>
      <w:r>
        <w:rPr>
          <w:rFonts w:ascii="Times New Roman" w:eastAsia="Times New Roman" w:hAnsi="Times New Roman" w:cs="Times New Roman"/>
          <w:color w:val="4F4F4F"/>
          <w:sz w:val="26"/>
          <w:szCs w:val="26"/>
        </w:rPr>
        <w:t xml:space="preserve"> </w:t>
      </w:r>
    </w:p>
    <w:p w:rsidR="0004257C" w:rsidRDefault="00FB59C9">
      <w:pPr>
        <w:spacing w:after="0" w:line="276" w:lineRule="auto"/>
        <w:ind w:left="1080" w:hanging="360"/>
        <w:jc w:val="center"/>
        <w:rPr>
          <w:rFonts w:ascii="Encode Sans" w:eastAsia="Encode Sans" w:hAnsi="Encode Sans" w:cs="Encode Sans"/>
          <w:b/>
          <w:sz w:val="34"/>
          <w:szCs w:val="34"/>
        </w:rPr>
      </w:pPr>
      <w:r>
        <w:rPr>
          <w:rFonts w:ascii="Encode Sans" w:eastAsia="Encode Sans" w:hAnsi="Encode Sans" w:cs="Encode Sans"/>
          <w:b/>
          <w:sz w:val="34"/>
          <w:szCs w:val="34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Encode Sans" w:eastAsia="Encode Sans" w:hAnsi="Encode Sans" w:cs="Encode Sans"/>
          <w:b/>
          <w:sz w:val="34"/>
          <w:szCs w:val="34"/>
        </w:rPr>
        <w:t>Contenidos</w:t>
      </w:r>
    </w:p>
    <w:p w:rsidR="0004257C" w:rsidRDefault="00FB59C9">
      <w:pPr>
        <w:spacing w:before="240" w:after="0" w:line="276" w:lineRule="auto"/>
        <w:jc w:val="center"/>
        <w:rPr>
          <w:rFonts w:ascii="Encode Sans" w:eastAsia="Encode Sans" w:hAnsi="Encode Sans" w:cs="Encode Sans"/>
          <w:b/>
          <w:sz w:val="34"/>
          <w:szCs w:val="34"/>
        </w:rPr>
      </w:pPr>
      <w:r>
        <w:rPr>
          <w:rFonts w:ascii="Encode Sans" w:eastAsia="Encode Sans" w:hAnsi="Encode Sans" w:cs="Encode Sans"/>
          <w:b/>
          <w:sz w:val="34"/>
          <w:szCs w:val="34"/>
        </w:rPr>
        <w:t xml:space="preserve"> </w:t>
      </w:r>
    </w:p>
    <w:p w:rsidR="0004257C" w:rsidRDefault="00FB59C9">
      <w:pPr>
        <w:spacing w:after="0" w:line="276" w:lineRule="auto"/>
        <w:ind w:left="1080" w:hanging="360"/>
        <w:rPr>
          <w:rFonts w:ascii="Encode Sans" w:eastAsia="Encode Sans" w:hAnsi="Encode Sans" w:cs="Encode Sans"/>
          <w:b/>
          <w:sz w:val="32"/>
          <w:szCs w:val="32"/>
        </w:rPr>
      </w:pPr>
      <w:r>
        <w:rPr>
          <w:rFonts w:ascii="Encode Sans" w:eastAsia="Encode Sans" w:hAnsi="Encode Sans" w:cs="Encode Sans"/>
          <w:b/>
          <w:sz w:val="32"/>
          <w:szCs w:val="32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Encode Sans" w:eastAsia="Encode Sans" w:hAnsi="Encode Sans" w:cs="Encode Sans"/>
          <w:b/>
          <w:sz w:val="32"/>
          <w:szCs w:val="32"/>
        </w:rPr>
        <w:t xml:space="preserve">Unidad </w:t>
      </w:r>
      <w:r>
        <w:rPr>
          <w:rFonts w:ascii="Encode Sans" w:eastAsia="Encode Sans" w:hAnsi="Encode Sans" w:cs="Encode Sans"/>
          <w:b/>
          <w:sz w:val="32"/>
          <w:szCs w:val="32"/>
        </w:rPr>
        <w:t>1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Objeto de estudio y paradigmas económicos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1.1.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El objeto de estudio de la Economía Política se centra en los principales paradigmas económicos: clásico, neoclásico, keynesiano y marxista.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1.2.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Método y problemáticas más usuales. Economía Política y política económica: el papel del Estado en la economía. Economía Política y Ciencias Sociales. Aportes de la Economía Política para el análisis de las desigualdades socio-territoriales.</w:t>
      </w:r>
    </w:p>
    <w:p w:rsidR="0004257C" w:rsidRDefault="00FB59C9">
      <w:pPr>
        <w:spacing w:after="0" w:line="276" w:lineRule="auto"/>
        <w:ind w:left="1280" w:hanging="4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Unid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ad 2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Conceptos estructurantes y núcleos teóricos de la Economía Política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El problema del valor en las distintas corrientes teóricas: clásica, neoclásica y marxista.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2.1.1.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La controversia sobre el origen del excedente y su distribución según lo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s diferentes paradigmas.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2.2.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La determinación del nivel de empleo y de salario en las visiones clásica, neoclásica, keynesiana y marxista.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2.2.1.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La discusión sobre el trabajo productivo, reproductivo e improductivo.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2.2.2.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El plusvalor como forma histórica del excedente en la sociedad capitalista. Formas del plusvalor. Plusvalor absoluto y plusvalor relativo.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2.3.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Valorización y acumulación de capital. Concentración y centralización del capital.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2.3.1.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Renta diferenci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al de la tierra. Renta agraria y renta minera. Distintos tipos de renta. El papel de la renta de la tierra en las economías latinoamericanas.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2.4.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Sistemas económicos y modos de producción. Funciones del Estado. Reguladora. Redistributiva. Estabiliza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dora. Supletoria. Proveedora de bienes y servicios públicos.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2.4.1.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Circuito económico simple y circuito económico complejo. Políticas económicas: fiscales, monetarias, cambiarias,  y de ofertas.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2.4.2.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Crítica feminista al circuito económico.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2.4.3.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Mo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dos de producción. El capitalismo como modo de producción: principales características. El socialismo como modo de producción: principales características.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2.4.4.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Las economías latinoamericanas como forma específica del proceso mundial de acumulación de capital: sus particularidades históricas y su configuración territorial.</w:t>
      </w:r>
    </w:p>
    <w:p w:rsidR="0004257C" w:rsidRDefault="00FB59C9">
      <w:pPr>
        <w:spacing w:after="0" w:line="276" w:lineRule="auto"/>
        <w:ind w:left="1280" w:hanging="4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Unidad 3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El problema del desarrollo latinoamericano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3.1.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Crecimiento y desar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rollo. Características del desarrollo económico. Frontera de posibilidades de producción. Producto bruto interno potencial. Producto bruto interno. El subdesarrollo económico:  principales características. Políticas económicas expansivas y restrictivas. Su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s efectos sobre el crecimiento y el desarrollo económico.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3.1.1.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Teorías neoclásicas del desarrollo económico: Solow, Rostow y Lewis.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3.2.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El imperialismo. El enfoque de la CEPAL.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3.2.1.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El estructuralismo latinoamericano. La teoría de la dependenc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ia. La teoría del desarrollo humano: el PNUD y el IDH.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3.2.2.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La visión neoliberal sobre el desarrollo.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3.2.3.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El desarrollo sustentable. La experiencia del desarrollo en Argentina y en la región: la industrialización y la sustitución de importaciones.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.3.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La integración regional: límites y posibilidades.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3.3.1.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El modelo extractivista. El neodesarrollismo.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3.3.2.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La restricción externa y los límites estructurales de la economía argentina. La deuda externa y el papel de los organismos internacion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ales de crédito.</w:t>
      </w:r>
    </w:p>
    <w:p w:rsidR="0004257C" w:rsidRDefault="00FB59C9">
      <w:pPr>
        <w:spacing w:after="0" w:line="276" w:lineRule="auto"/>
        <w:ind w:left="1280" w:hanging="4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Unidad 4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División internacional del trabajo, globalización y crisis económicas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4.1.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División internacional del trabajo (DIT): concepto, características y etapas históricas.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4.1.1.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Las consecuencias espaciales y territoriales de la DIT en las economías latinoamericanas.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4.2.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Globalización neoliberal: sus efectos sobre las economías latinoamericanas. Las transformaciones productivas recientes y sus efectos en la DIT: la relocalización de los procesos productivos y su impacto en el espacio.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4.2.1.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Cadenas globales de valor.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El sobredimensionamiento de las finanzas a nivel global y sus efectos en la región. Expansión del capital ficticio.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4.3.1.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Ciclo económico y crisis. Tipos de crisis.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4.3.2.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Causas y consecuencias de las crisis capitalistas. Las grandes crisis mun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diales a lo largo de la historia y sus efectos en la región.</w:t>
      </w:r>
    </w:p>
    <w:p w:rsidR="0004257C" w:rsidRDefault="00FB59C9">
      <w:pPr>
        <w:spacing w:after="0" w:line="276" w:lineRule="auto"/>
        <w:ind w:left="1440" w:hanging="720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4.3.3.</w:t>
      </w:r>
      <w:r>
        <w:rPr>
          <w:rFonts w:ascii="Times New Roman" w:eastAsia="Times New Roman" w:hAnsi="Times New Roman" w:cs="Times New Roman"/>
          <w:color w:val="585757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>Las crisis recientes en las economías latinoamericanas.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57C" w:rsidRDefault="00FB59C9">
      <w:pPr>
        <w:spacing w:after="0" w:line="276" w:lineRule="auto"/>
        <w:ind w:left="1080" w:hanging="360"/>
        <w:jc w:val="center"/>
        <w:rPr>
          <w:rFonts w:ascii="Encode Sans" w:eastAsia="Encode Sans" w:hAnsi="Encode Sans" w:cs="Encode Sans"/>
          <w:b/>
          <w:sz w:val="34"/>
          <w:szCs w:val="34"/>
        </w:rPr>
      </w:pPr>
      <w:r>
        <w:rPr>
          <w:rFonts w:ascii="Encode Sans" w:eastAsia="Encode Sans" w:hAnsi="Encode Sans" w:cs="Encode Sans"/>
          <w:b/>
          <w:sz w:val="34"/>
          <w:szCs w:val="34"/>
        </w:rPr>
        <w:t>Estrategias didácticas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585757"/>
          <w:sz w:val="26"/>
          <w:szCs w:val="26"/>
        </w:rPr>
      </w:pPr>
      <w:r>
        <w:rPr>
          <w:rFonts w:ascii="Times New Roman" w:eastAsia="Times New Roman" w:hAnsi="Times New Roman" w:cs="Times New Roman"/>
          <w:color w:val="585757"/>
          <w:sz w:val="26"/>
          <w:szCs w:val="26"/>
        </w:rPr>
        <w:t xml:space="preserve"> </w:t>
      </w:r>
    </w:p>
    <w:p w:rsidR="0004257C" w:rsidRDefault="00FB59C9">
      <w:pPr>
        <w:spacing w:before="240" w:after="240"/>
        <w:ind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Dada la heterogeneidad que conforman el ambiente áulico en el nivel superior, se tenderá un puente cog</w:t>
      </w:r>
      <w:r>
        <w:rPr>
          <w:rFonts w:ascii="Arial" w:eastAsia="Arial" w:hAnsi="Arial" w:cs="Arial"/>
          <w:sz w:val="20"/>
          <w:szCs w:val="20"/>
        </w:rPr>
        <w:t>nitivo que permita establecer una articulación no traumática de los conocimientos.</w:t>
      </w:r>
    </w:p>
    <w:p w:rsidR="0004257C" w:rsidRDefault="00FB59C9">
      <w:pPr>
        <w:spacing w:before="240" w:after="240"/>
        <w:ind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Cada clase tendrá un momento de apertura cuyo objetivo será detectar saberes previos o recuperar contenidos y temas trabajados con anterioridad, siempre a través del dialogo</w:t>
      </w:r>
      <w:r>
        <w:rPr>
          <w:rFonts w:ascii="Arial" w:eastAsia="Arial" w:hAnsi="Arial" w:cs="Arial"/>
          <w:sz w:val="20"/>
          <w:szCs w:val="20"/>
        </w:rPr>
        <w:t xml:space="preserve"> y la argumentación</w:t>
      </w:r>
    </w:p>
    <w:p w:rsidR="0004257C" w:rsidRDefault="00FB59C9">
      <w:pPr>
        <w:spacing w:before="240" w:after="240"/>
        <w:ind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favorecerán los momentos de exposición grupal de manera que la clase sea un espacio de análisis, reflexión, lectura critica, selectiva e interpretativa de la bibliografía, contribuyendo a la construcción colectiva, cooperativa y soli</w:t>
      </w:r>
      <w:r>
        <w:rPr>
          <w:rFonts w:ascii="Arial" w:eastAsia="Arial" w:hAnsi="Arial" w:cs="Arial"/>
          <w:sz w:val="20"/>
          <w:szCs w:val="20"/>
        </w:rPr>
        <w:t>daria en la producción de conocimientos.</w:t>
      </w:r>
    </w:p>
    <w:p w:rsidR="0004257C" w:rsidRDefault="00FB59C9">
      <w:pPr>
        <w:spacing w:before="240" w:after="240"/>
        <w:ind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propiciará la creación de un clima de tolerancia y democrático, que incentiven constantemente a la participación de los alumnos.</w:t>
      </w:r>
    </w:p>
    <w:p w:rsidR="0004257C" w:rsidRDefault="00FB59C9">
      <w:pPr>
        <w:spacing w:before="240" w:after="240"/>
        <w:ind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promoverá la aplicación de la metodología de la investigación de las ciencias sociales ante situaciones concretas: en la selección, recolección y organización de in formación, en la relación de diferentes variables, en la formulación de interrogantes y </w:t>
      </w:r>
      <w:r>
        <w:rPr>
          <w:rFonts w:ascii="Arial" w:eastAsia="Arial" w:hAnsi="Arial" w:cs="Arial"/>
          <w:sz w:val="20"/>
          <w:szCs w:val="20"/>
        </w:rPr>
        <w:t>explicaciones, en la localización y secuenciación en el tiempo y el espacio.</w:t>
      </w:r>
    </w:p>
    <w:p w:rsidR="0004257C" w:rsidRDefault="00FB59C9">
      <w:pPr>
        <w:spacing w:before="240" w:after="240"/>
        <w:ind w:firstLine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utilizarán las estrategias las didácticas más apropiadas en relación con las características bio-psico-sociales del ambiente áulico. La selección de estrategias da cuenta de la</w:t>
      </w:r>
      <w:r>
        <w:rPr>
          <w:rFonts w:ascii="Arial" w:eastAsia="Arial" w:hAnsi="Arial" w:cs="Arial"/>
          <w:sz w:val="20"/>
          <w:szCs w:val="20"/>
        </w:rPr>
        <w:t xml:space="preserve"> coexistencia de elementos de distintos enfoques, del conductual al enfoque constructivista, evidenciándose un proceso de transición; a partir de un paradigma inclusivo que intenta atender a la diversidad de características de los y las estudiantes (futuro</w:t>
      </w:r>
      <w:r>
        <w:rPr>
          <w:rFonts w:ascii="Arial" w:eastAsia="Arial" w:hAnsi="Arial" w:cs="Arial"/>
          <w:sz w:val="20"/>
          <w:szCs w:val="20"/>
        </w:rPr>
        <w:t>s docentes).</w:t>
      </w:r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444444"/>
          <w:sz w:val="21"/>
          <w:szCs w:val="21"/>
          <w:highlight w:val="white"/>
        </w:rPr>
      </w:pPr>
      <w:r>
        <w:rPr>
          <w:rFonts w:ascii="Arial" w:eastAsia="Arial" w:hAnsi="Arial" w:cs="Arial"/>
          <w:color w:val="444444"/>
          <w:sz w:val="21"/>
          <w:szCs w:val="21"/>
          <w:highlight w:val="white"/>
        </w:rPr>
        <w:t xml:space="preserve"> 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Ambiente de aprendizaje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Makerspaces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Aprendizaje basado en problemas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Aprendizaje colaborativo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Aprendizaje situado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Aprendizaje activo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Gamificación en el aula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Aula invertida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Mapas conceptuales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Redes semánticas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Lluvia de ideas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Formulación de hipótesis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Elaboración de estrategias de resolución de problemas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Planificación conjunta del aprendizaje</w:t>
      </w:r>
    </w:p>
    <w:p w:rsidR="0004257C" w:rsidRDefault="00FB59C9">
      <w:pPr>
        <w:shd w:val="clear" w:color="auto" w:fill="FFFFFF"/>
        <w:spacing w:after="12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>Construcción de gráficos, cuadros</w:t>
      </w:r>
    </w:p>
    <w:p w:rsidR="0004257C" w:rsidRDefault="00FB59C9">
      <w:pPr>
        <w:shd w:val="clear" w:color="auto" w:fill="FFFFFF"/>
        <w:spacing w:after="0"/>
        <w:ind w:left="1080" w:hanging="360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1D35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color w:val="001D35"/>
          <w:sz w:val="14"/>
          <w:szCs w:val="14"/>
        </w:rPr>
        <w:t xml:space="preserve">        </w:t>
      </w:r>
      <w:r>
        <w:rPr>
          <w:rFonts w:ascii="Arial" w:eastAsia="Arial" w:hAnsi="Arial" w:cs="Arial"/>
          <w:color w:val="001D35"/>
          <w:sz w:val="24"/>
          <w:szCs w:val="24"/>
        </w:rPr>
        <w:t xml:space="preserve">Juegos de roles </w:t>
      </w:r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444444"/>
          <w:sz w:val="21"/>
          <w:szCs w:val="21"/>
          <w:highlight w:val="white"/>
        </w:rPr>
      </w:pPr>
      <w:r>
        <w:rPr>
          <w:rFonts w:ascii="Arial" w:eastAsia="Arial" w:hAnsi="Arial" w:cs="Arial"/>
          <w:color w:val="444444"/>
          <w:sz w:val="21"/>
          <w:szCs w:val="21"/>
          <w:highlight w:val="white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444444"/>
          <w:sz w:val="21"/>
          <w:szCs w:val="21"/>
          <w:highlight w:val="white"/>
        </w:rPr>
      </w:pPr>
      <w:r>
        <w:rPr>
          <w:rFonts w:ascii="Arial" w:eastAsia="Arial" w:hAnsi="Arial" w:cs="Arial"/>
          <w:color w:val="444444"/>
          <w:sz w:val="21"/>
          <w:szCs w:val="21"/>
          <w:highlight w:val="white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444444"/>
          <w:sz w:val="21"/>
          <w:szCs w:val="21"/>
          <w:highlight w:val="white"/>
        </w:rPr>
      </w:pPr>
      <w:r>
        <w:rPr>
          <w:rFonts w:ascii="Arial" w:eastAsia="Arial" w:hAnsi="Arial" w:cs="Arial"/>
          <w:color w:val="444444"/>
          <w:sz w:val="21"/>
          <w:szCs w:val="21"/>
          <w:highlight w:val="white"/>
        </w:rPr>
        <w:t xml:space="preserve"> </w:t>
      </w:r>
    </w:p>
    <w:p w:rsidR="0004257C" w:rsidRDefault="00FB59C9">
      <w:pPr>
        <w:spacing w:after="0" w:line="276" w:lineRule="auto"/>
        <w:ind w:left="1080" w:hanging="360"/>
        <w:jc w:val="center"/>
        <w:rPr>
          <w:rFonts w:ascii="Encode Sans" w:eastAsia="Encode Sans" w:hAnsi="Encode Sans" w:cs="Encode Sans"/>
          <w:b/>
          <w:sz w:val="34"/>
          <w:szCs w:val="34"/>
        </w:rPr>
      </w:pPr>
      <w:r>
        <w:rPr>
          <w:rFonts w:ascii="Encode Sans" w:eastAsia="Encode Sans" w:hAnsi="Encode Sans" w:cs="Encode Sans"/>
          <w:b/>
          <w:sz w:val="34"/>
          <w:szCs w:val="34"/>
        </w:rPr>
        <w:t>bibliografía Obligatoria</w:t>
      </w:r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444444"/>
          <w:sz w:val="21"/>
          <w:szCs w:val="21"/>
          <w:highlight w:val="white"/>
        </w:rPr>
      </w:pPr>
      <w:r>
        <w:rPr>
          <w:rFonts w:ascii="Arial" w:eastAsia="Arial" w:hAnsi="Arial" w:cs="Arial"/>
          <w:color w:val="444444"/>
          <w:sz w:val="21"/>
          <w:szCs w:val="21"/>
          <w:highlight w:val="white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444444"/>
          <w:sz w:val="21"/>
          <w:szCs w:val="21"/>
          <w:highlight w:val="white"/>
        </w:rPr>
      </w:pPr>
      <w:r>
        <w:rPr>
          <w:rFonts w:ascii="Arial" w:eastAsia="Arial" w:hAnsi="Arial" w:cs="Arial"/>
          <w:color w:val="444444"/>
          <w:sz w:val="21"/>
          <w:szCs w:val="21"/>
          <w:highlight w:val="white"/>
        </w:rPr>
        <w:t>CARPETA COMPARTIDA DE BIBLIOGRAFÍA</w:t>
      </w:r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444444"/>
          <w:sz w:val="21"/>
          <w:szCs w:val="21"/>
          <w:highlight w:val="white"/>
        </w:rPr>
      </w:pPr>
      <w:r>
        <w:rPr>
          <w:rFonts w:ascii="Arial" w:eastAsia="Arial" w:hAnsi="Arial" w:cs="Arial"/>
          <w:color w:val="444444"/>
          <w:sz w:val="21"/>
          <w:szCs w:val="21"/>
          <w:highlight w:val="white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1155CC"/>
          <w:sz w:val="21"/>
          <w:szCs w:val="21"/>
          <w:highlight w:val="white"/>
          <w:u w:val="single"/>
        </w:rPr>
      </w:pPr>
      <w:hyperlink r:id="rId9">
        <w:r>
          <w:rPr>
            <w:rFonts w:ascii="Arial" w:eastAsia="Arial" w:hAnsi="Arial" w:cs="Arial"/>
            <w:color w:val="1155CC"/>
            <w:sz w:val="21"/>
            <w:szCs w:val="21"/>
            <w:highlight w:val="white"/>
            <w:u w:val="single"/>
          </w:rPr>
          <w:t>https://drive.google.com/drive/folders/1CK2cOBO3Yi-YlHS5jamQ17X30r6ZC_Xu?usp=sharing</w:t>
        </w:r>
      </w:hyperlink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444444"/>
          <w:sz w:val="21"/>
          <w:szCs w:val="21"/>
          <w:highlight w:val="white"/>
        </w:rPr>
      </w:pPr>
      <w:r>
        <w:rPr>
          <w:rFonts w:ascii="Arial" w:eastAsia="Arial" w:hAnsi="Arial" w:cs="Arial"/>
          <w:color w:val="444444"/>
          <w:sz w:val="21"/>
          <w:szCs w:val="21"/>
          <w:highlight w:val="white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1155CC"/>
          <w:sz w:val="21"/>
          <w:szCs w:val="21"/>
          <w:highlight w:val="white"/>
          <w:u w:val="single"/>
        </w:rPr>
      </w:pPr>
      <w:hyperlink r:id="rId10">
        <w:r>
          <w:rPr>
            <w:rFonts w:ascii="Arial" w:eastAsia="Arial" w:hAnsi="Arial" w:cs="Arial"/>
            <w:color w:val="1155CC"/>
            <w:sz w:val="21"/>
            <w:szCs w:val="21"/>
            <w:highlight w:val="white"/>
            <w:u w:val="single"/>
          </w:rPr>
          <w:t>https://drive.google.com/drive/folders/1Rhjnq7lmcwOqTiW6yZZp9xJC_InT4fjX?usp=sharing</w:t>
        </w:r>
      </w:hyperlink>
    </w:p>
    <w:p w:rsidR="0004257C" w:rsidRDefault="00FB59C9">
      <w:pPr>
        <w:spacing w:before="240" w:after="0" w:line="276" w:lineRule="auto"/>
        <w:rPr>
          <w:rFonts w:ascii="Arial" w:eastAsia="Arial" w:hAnsi="Arial" w:cs="Arial"/>
          <w:color w:val="444444"/>
          <w:sz w:val="21"/>
          <w:szCs w:val="21"/>
          <w:highlight w:val="white"/>
        </w:rPr>
      </w:pPr>
      <w:r>
        <w:rPr>
          <w:rFonts w:ascii="Arial" w:eastAsia="Arial" w:hAnsi="Arial" w:cs="Arial"/>
          <w:color w:val="444444"/>
          <w:sz w:val="21"/>
          <w:szCs w:val="21"/>
          <w:highlight w:val="white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Economía con aplicaciones a Latinoamérica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 xml:space="preserve"> décimo novena edición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paul samuelson - Williams Nordhaus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19 ed. editorial Mac Graw Hill</w:t>
      </w:r>
    </w:p>
    <w:p w:rsidR="0004257C" w:rsidRDefault="00FB59C9">
      <w:pPr>
        <w:shd w:val="clear" w:color="auto" w:fill="FFFFFF"/>
        <w:spacing w:before="160" w:after="0" w:line="276" w:lineRule="auto"/>
        <w:rPr>
          <w:rFonts w:ascii="Arial" w:eastAsia="Arial" w:hAnsi="Arial" w:cs="Arial"/>
          <w:color w:val="5E5E5E"/>
          <w:sz w:val="20"/>
          <w:szCs w:val="20"/>
        </w:rPr>
      </w:pPr>
      <w:r>
        <w:rPr>
          <w:rFonts w:ascii="Arial" w:eastAsia="Arial" w:hAnsi="Arial" w:cs="Arial"/>
          <w:color w:val="5E5E5E"/>
          <w:sz w:val="20"/>
          <w:szCs w:val="20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14"/>
          <w:szCs w:val="14"/>
          <w:highlight w:val="white"/>
        </w:rPr>
      </w:pPr>
      <w:r>
        <w:rPr>
          <w:rFonts w:ascii="Arial" w:eastAsia="Arial" w:hAnsi="Arial" w:cs="Arial"/>
          <w:color w:val="444444"/>
          <w:sz w:val="21"/>
          <w:szCs w:val="21"/>
          <w:highlight w:val="white"/>
        </w:rPr>
        <w:t xml:space="preserve"> ·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highlight w:val="white"/>
        </w:rPr>
        <w:t xml:space="preserve">       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highlight w:val="white"/>
        </w:rPr>
        <w:tab/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Mato, D. (comp.) (2001). Estudios latinoamericanos sobre cultura y transformaciones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sociales en tiempos de globalización 2. CLACSO.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Thwaites Rey, M. (2005). Estado: ¿qué Estado?. En Thwaites Rey, M. y López,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A. (2005) Entre tecnócratas globalizados y pol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íticos clientelares. Derrotero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del ajuste neoliberal en el Estado argentino. Buenos Aires. Prometeo.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Economía principios y aplicaciones 2008 - Francisco mochón Morcillo - Víctor Alberto Becker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4 ta edición - Editorial Mc Graw Hill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Introducción al análi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sis económico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Un enfoque para economías periféricas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Coordinador Daniel Novak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Instituto de Ciencias Sociales y administración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 xml:space="preserve"> Universidad Nacional Arturo jauretche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editorial: UNAJ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 xml:space="preserve"> 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Economía con aplicaciones a Latinoamérica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 xml:space="preserve"> décimo novena edición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paul samuelson - Williams Nordhaus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>19 ed. editorial Mac Graw Hill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  <w:t xml:space="preserve"> </w:t>
      </w:r>
    </w:p>
    <w:p w:rsidR="0004257C" w:rsidRDefault="00FB59C9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04257C" w:rsidRDefault="00FB59C9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INTRODUCCIÓN A LA TEORÍA ECONÓMICA UN ENFOQUE LATINOAMERICANO</w:t>
      </w:r>
    </w:p>
    <w:p w:rsidR="0004257C" w:rsidRDefault="00FB59C9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 Gustavo Vargas Sánchez · 2006 - Editorial: Pearson</w:t>
      </w:r>
    </w:p>
    <w:p w:rsidR="0004257C" w:rsidRDefault="00FB59C9">
      <w:pPr>
        <w:spacing w:before="240" w:after="0" w:line="276" w:lineRule="auto"/>
        <w:rPr>
          <w:rFonts w:ascii="Times New Roman" w:eastAsia="Times New Roman" w:hAnsi="Times New Roman" w:cs="Times New Roman"/>
          <w:color w:val="1155CC"/>
          <w:sz w:val="20"/>
          <w:szCs w:val="20"/>
          <w:highlight w:val="white"/>
          <w:u w:val="single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https://www.google.com.ar/books/edition/INTRODUCCI%C3%93N_A_LA_TEOR%C3%8DA_ECON%C3%93MICA_UN/u1DFsje4lMcC?hl=es-419&amp;gbpv=1&amp;dq=El%20problema%20del%20valor%20en%20las%20distintas%20corrientes%20te%C3%B3ricas%20cl%C</w:t>
        </w:r>
        <w:r>
          <w:rPr>
            <w:rFonts w:ascii="Times New Roman" w:eastAsia="Times New Roman" w:hAnsi="Times New Roman" w:cs="Times New Roman"/>
            <w:color w:val="1155CC"/>
            <w:sz w:val="20"/>
            <w:szCs w:val="20"/>
            <w:highlight w:val="white"/>
            <w:u w:val="single"/>
          </w:rPr>
          <w:t>3%A1sicas%20neocl%C3%A1sica%20y%20marxista&amp;pg=PA77&amp;printsec=frontcover</w:t>
        </w:r>
      </w:hyperlink>
    </w:p>
    <w:p w:rsidR="0004257C" w:rsidRDefault="00FB59C9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4257C" w:rsidRDefault="00FB59C9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MATERIAL DE PRESETNACION DE CONTENIDOS</w:t>
      </w:r>
    </w:p>
    <w:p w:rsidR="0004257C" w:rsidRDefault="00FB59C9">
      <w:pPr>
        <w:spacing w:before="240" w:after="240"/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https://docs.google.com/presentation/d/1eDkcu-bxFmbzVuLmp3T8bNPS2gOQHqxT/edit?usp=sharing&amp;ouid=100168398258155371148&amp;rtpof=true&amp;sd=true</w:t>
        </w:r>
      </w:hyperlink>
    </w:p>
    <w:p w:rsidR="0004257C" w:rsidRDefault="00FB59C9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4257C" w:rsidRDefault="0004257C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04257C" w:rsidRDefault="0004257C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04257C" w:rsidRDefault="0004257C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0"/>
        <w:tblW w:w="10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06"/>
      </w:tblGrid>
      <w:tr w:rsidR="0004257C">
        <w:trPr>
          <w:trHeight w:val="140"/>
        </w:trPr>
        <w:tc>
          <w:tcPr>
            <w:tcW w:w="0" w:type="auto"/>
            <w:tcMar>
              <w:top w:w="0" w:type="dxa"/>
              <w:bottom w:w="0" w:type="dxa"/>
            </w:tcMar>
          </w:tcPr>
          <w:p w:rsidR="0004257C" w:rsidRDefault="00FB59C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CRITERIOS E INSTRUMENTOS DE EVALUACIÓN. CONDICIONES PARA LA PROMOCIÓN DIRECTA </w:t>
            </w:r>
          </w:p>
        </w:tc>
      </w:tr>
    </w:tbl>
    <w:p w:rsidR="0004257C" w:rsidRDefault="00FB59C9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Evaluación. Condiciones de Aprobación y acreditación.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Los diferentes formatos de unidades curriculares habilitan contemplar variados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dispositivos de evaluación que consideren la entidad del objeto de enseñanza, el tipo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de relación pedagógica que se establece, el modo en que se dicta el espacio y la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complejidad del proceso de aprendizaje. Por ello, para la valoración de saberes pueden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contemplarse múltiples instrumentos de evaluación: portafolios, trabajos de escritura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co</w:t>
      </w:r>
      <w:r>
        <w:rPr>
          <w:rFonts w:ascii="Encode Sans" w:eastAsia="Encode Sans" w:hAnsi="Encode Sans" w:cs="Encode Sans"/>
        </w:rPr>
        <w:t>laborativa, elaboración de bitácoras, diarios de campo, narrativas, participación en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foros, coloquios, muestras, producciones específicas de las disciplinas artísticas en vivo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o en grabaciones de audio y video, diseño y/o desarrollo de proyectos tecnológic</w:t>
      </w:r>
      <w:r>
        <w:rPr>
          <w:rFonts w:ascii="Encode Sans" w:eastAsia="Encode Sans" w:hAnsi="Encode Sans" w:cs="Encode Sans"/>
        </w:rPr>
        <w:t>os,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producción de procesos y/o prototipos, simulaciones, entre otros, de forma tal que no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sea el examen oral o escrito el único instrumento utilizado. Estos dispositivos deberán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estar explicitados en los programas de cada unidad curricular como insumos e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i</w:t>
      </w:r>
      <w:r>
        <w:rPr>
          <w:rFonts w:ascii="Encode Sans" w:eastAsia="Encode Sans" w:hAnsi="Encode Sans" w:cs="Encode Sans"/>
        </w:rPr>
        <w:t>nstrumentos evaluativos.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b/>
        </w:rPr>
        <w:t xml:space="preserve">8.2 </w:t>
      </w:r>
      <w:r>
        <w:rPr>
          <w:rFonts w:ascii="Encode Sans" w:eastAsia="Encode Sans" w:hAnsi="Encode Sans" w:cs="Encode Sans"/>
        </w:rPr>
        <w:t>Para la aprobación y acreditación de las instancias de evaluación se utilizará una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escala numérica entera de 1 (uno) a 10 (diez) puntos.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b/>
        </w:rPr>
        <w:t xml:space="preserve">8.3 </w:t>
      </w:r>
      <w:r>
        <w:rPr>
          <w:rFonts w:ascii="Encode Sans" w:eastAsia="Encode Sans" w:hAnsi="Encode Sans" w:cs="Encode Sans"/>
        </w:rPr>
        <w:t xml:space="preserve">Una </w:t>
      </w:r>
      <w:r>
        <w:rPr>
          <w:rFonts w:ascii="Encode Sans" w:eastAsia="Encode Sans" w:hAnsi="Encode Sans" w:cs="Encode Sans"/>
          <w:b/>
        </w:rPr>
        <w:t>Unidad Curricular</w:t>
      </w:r>
      <w:r>
        <w:rPr>
          <w:rFonts w:ascii="Encode Sans" w:eastAsia="Encode Sans" w:hAnsi="Encode Sans" w:cs="Encode Sans"/>
          <w:b/>
          <w:sz w:val="13"/>
          <w:szCs w:val="13"/>
        </w:rPr>
        <w:t xml:space="preserve">4 </w:t>
      </w:r>
      <w:r>
        <w:rPr>
          <w:rFonts w:ascii="Encode Sans" w:eastAsia="Encode Sans" w:hAnsi="Encode Sans" w:cs="Encode Sans"/>
          <w:b/>
        </w:rPr>
        <w:t xml:space="preserve">(UC) </w:t>
      </w:r>
      <w:r>
        <w:rPr>
          <w:rFonts w:ascii="Encode Sans" w:eastAsia="Encode Sans" w:hAnsi="Encode Sans" w:cs="Encode Sans"/>
        </w:rPr>
        <w:t xml:space="preserve">se considera </w:t>
      </w:r>
      <w:r>
        <w:rPr>
          <w:rFonts w:ascii="Encode Sans" w:eastAsia="Encode Sans" w:hAnsi="Encode Sans" w:cs="Encode Sans"/>
          <w:b/>
        </w:rPr>
        <w:t xml:space="preserve">aprobada </w:t>
      </w:r>
      <w:r>
        <w:rPr>
          <w:rFonts w:ascii="Encode Sans" w:eastAsia="Encode Sans" w:hAnsi="Encode Sans" w:cs="Encode Sans"/>
        </w:rPr>
        <w:t>cuando se cumplen con las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condicione</w:t>
      </w:r>
      <w:r>
        <w:rPr>
          <w:rFonts w:ascii="Encode Sans" w:eastAsia="Encode Sans" w:hAnsi="Encode Sans" w:cs="Encode Sans"/>
        </w:rPr>
        <w:t>s para acceder a la instancia de acreditación:</w:t>
      </w:r>
    </w:p>
    <w:p w:rsidR="0004257C" w:rsidRDefault="00FB5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Encode Sans" w:eastAsia="Encode Sans" w:hAnsi="Encode Sans" w:cs="Encode Sans"/>
          <w:color w:val="000000"/>
        </w:rPr>
        <w:t xml:space="preserve">asistencia (de acuerdo con los ítems </w:t>
      </w:r>
      <w:r>
        <w:rPr>
          <w:rFonts w:ascii="Encode Sans" w:eastAsia="Encode Sans" w:hAnsi="Encode Sans" w:cs="Encode Sans"/>
          <w:b/>
          <w:color w:val="000000"/>
        </w:rPr>
        <w:t xml:space="preserve">5.3 y 5.4 </w:t>
      </w:r>
      <w:r>
        <w:rPr>
          <w:rFonts w:ascii="Encode Sans" w:eastAsia="Encode Sans" w:hAnsi="Encode Sans" w:cs="Encode Sans"/>
          <w:color w:val="000000"/>
        </w:rPr>
        <w:t>del presente Anexo)</w:t>
      </w:r>
    </w:p>
    <w:p w:rsidR="0004257C" w:rsidRDefault="00FB59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Encode Sans" w:eastAsia="Encode Sans" w:hAnsi="Encode Sans" w:cs="Encode Sans"/>
          <w:color w:val="000000"/>
        </w:rPr>
        <w:t>aprobación de las instancias de evaluación previstas con calificación mínima de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4 (cuatro) puntos inclusive en las instancias de recuperación. Para el Campo de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la Práctica Docente o las Prácticas Profesionalizantes, Talleres, Seminarios,</w:t>
      </w:r>
    </w:p>
    <w:p w:rsidR="0004257C" w:rsidRDefault="00FB59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cumplir con los requisitos académicos de la propuesta de enseñanza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correspondiente a la unidad cur</w:t>
      </w:r>
      <w:r>
        <w:rPr>
          <w:rFonts w:ascii="Encode Sans" w:eastAsia="Encode Sans" w:hAnsi="Encode Sans" w:cs="Encode Sans"/>
        </w:rPr>
        <w:t>ricular, en el marco del Proyecto Institucional de Evaluación</w:t>
      </w:r>
    </w:p>
    <w:p w:rsidR="0004257C" w:rsidRDefault="0004257C">
      <w:pPr>
        <w:spacing w:after="0" w:line="240" w:lineRule="auto"/>
        <w:rPr>
          <w:rFonts w:ascii="Encode Sans" w:eastAsia="Encode Sans" w:hAnsi="Encode Sans" w:cs="Encode Sans"/>
          <w:b/>
        </w:rPr>
      </w:pP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De la validez de la cursada de una UC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Las unidades curriculares anuales y cuatrimestrales aprobadas y pendientes de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acreditación tendrán una validez de </w:t>
      </w:r>
      <w:r>
        <w:rPr>
          <w:rFonts w:ascii="Encode Sans" w:eastAsia="Encode Sans" w:hAnsi="Encode Sans" w:cs="Encode Sans"/>
          <w:b/>
        </w:rPr>
        <w:t xml:space="preserve">ocho turnos </w:t>
      </w:r>
      <w:r>
        <w:rPr>
          <w:rFonts w:ascii="Encode Sans" w:eastAsia="Encode Sans" w:hAnsi="Encode Sans" w:cs="Encode Sans"/>
        </w:rPr>
        <w:t>de acreditación final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consecu</w:t>
      </w:r>
      <w:r>
        <w:rPr>
          <w:rFonts w:ascii="Encode Sans" w:eastAsia="Encode Sans" w:hAnsi="Encode Sans" w:cs="Encode Sans"/>
        </w:rPr>
        <w:t>tivos. Estos se contabilizarán a partir del primer turno disponible posterior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a la aprobación de la cursada, según lo establecido en el apartado </w:t>
      </w:r>
      <w:r>
        <w:rPr>
          <w:rFonts w:ascii="Encode Sans" w:eastAsia="Encode Sans" w:hAnsi="Encode Sans" w:cs="Encode Sans"/>
          <w:b/>
        </w:rPr>
        <w:t>8.7.1</w:t>
      </w:r>
      <w:r>
        <w:rPr>
          <w:rFonts w:ascii="Encode Sans" w:eastAsia="Encode Sans" w:hAnsi="Encode Sans" w:cs="Encode Sans"/>
        </w:rPr>
        <w:t>. Vencido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este plazo, se deberá recursar la unidad curricular.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En el caso de que la o el estudiante se pre</w:t>
      </w:r>
      <w:r>
        <w:rPr>
          <w:rFonts w:ascii="Encode Sans" w:eastAsia="Encode Sans" w:hAnsi="Encode Sans" w:cs="Encode Sans"/>
        </w:rPr>
        <w:t xml:space="preserve">sente en </w:t>
      </w:r>
      <w:r>
        <w:rPr>
          <w:rFonts w:ascii="Encode Sans" w:eastAsia="Encode Sans" w:hAnsi="Encode Sans" w:cs="Encode Sans"/>
          <w:b/>
        </w:rPr>
        <w:t xml:space="preserve">cuatro </w:t>
      </w:r>
      <w:r>
        <w:rPr>
          <w:rFonts w:ascii="Encode Sans" w:eastAsia="Encode Sans" w:hAnsi="Encode Sans" w:cs="Encode Sans"/>
        </w:rPr>
        <w:t xml:space="preserve">oportunidades y no acredite deberá </w:t>
      </w:r>
      <w:r>
        <w:rPr>
          <w:rFonts w:ascii="Encode Sans" w:eastAsia="Encode Sans" w:hAnsi="Encode Sans" w:cs="Encode Sans"/>
          <w:b/>
        </w:rPr>
        <w:t xml:space="preserve">recursar </w:t>
      </w:r>
      <w:r>
        <w:rPr>
          <w:rFonts w:ascii="Encode Sans" w:eastAsia="Encode Sans" w:hAnsi="Encode Sans" w:cs="Encode Sans"/>
        </w:rPr>
        <w:t>la unidad curricular.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La </w:t>
      </w:r>
      <w:r>
        <w:rPr>
          <w:rFonts w:ascii="Encode Sans" w:eastAsia="Encode Sans" w:hAnsi="Encode Sans" w:cs="Encode Sans"/>
          <w:b/>
        </w:rPr>
        <w:t xml:space="preserve">acreditación </w:t>
      </w:r>
      <w:r>
        <w:rPr>
          <w:rFonts w:ascii="Encode Sans" w:eastAsia="Encode Sans" w:hAnsi="Encode Sans" w:cs="Encode Sans"/>
        </w:rPr>
        <w:t>supone el acto administrativo que certifica el cumplimiento de la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totalidad de los requisitos para la aprobación final de una unidad curricular. Las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</w:rPr>
        <w:t xml:space="preserve">Unidades Curriculares </w:t>
      </w:r>
      <w:r>
        <w:rPr>
          <w:rFonts w:ascii="Encode Sans" w:eastAsia="Encode Sans" w:hAnsi="Encode Sans" w:cs="Encode Sans"/>
          <w:b/>
        </w:rPr>
        <w:t>se acreditan:</w:t>
      </w:r>
    </w:p>
    <w:p w:rsidR="0004257C" w:rsidRDefault="00FB59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 xml:space="preserve">por </w:t>
      </w:r>
      <w:r>
        <w:rPr>
          <w:rFonts w:ascii="Encode Sans" w:eastAsia="Encode Sans" w:hAnsi="Encode Sans" w:cs="Encode Sans"/>
          <w:b/>
          <w:color w:val="000000"/>
        </w:rPr>
        <w:t xml:space="preserve">promoción directa, </w:t>
      </w:r>
      <w:r>
        <w:rPr>
          <w:rFonts w:ascii="Encode Sans" w:eastAsia="Encode Sans" w:hAnsi="Encode Sans" w:cs="Encode Sans"/>
          <w:color w:val="000000"/>
        </w:rPr>
        <w:t>es decir, sin instancia de evaluación final, según lo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establecido en el punto </w:t>
      </w:r>
      <w:r>
        <w:rPr>
          <w:rFonts w:ascii="Encode Sans" w:eastAsia="Encode Sans" w:hAnsi="Encode Sans" w:cs="Encode Sans"/>
          <w:b/>
        </w:rPr>
        <w:t xml:space="preserve">8.5 </w:t>
      </w:r>
      <w:r>
        <w:rPr>
          <w:rFonts w:ascii="Encode Sans" w:eastAsia="Encode Sans" w:hAnsi="Encode Sans" w:cs="Encode Sans"/>
        </w:rPr>
        <w:t>y, en caso de no cumplir con esas condiciones, se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pasará a la instancia de evaluación final.</w:t>
      </w:r>
    </w:p>
    <w:p w:rsidR="0004257C" w:rsidRDefault="00FB59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Encode Sans" w:eastAsia="Encode Sans" w:hAnsi="Encode Sans" w:cs="Encode Sans"/>
          <w:b/>
          <w:color w:val="000000"/>
        </w:rPr>
        <w:t>con instancia de eval</w:t>
      </w:r>
      <w:r>
        <w:rPr>
          <w:rFonts w:ascii="Encode Sans" w:eastAsia="Encode Sans" w:hAnsi="Encode Sans" w:cs="Encode Sans"/>
          <w:b/>
          <w:color w:val="000000"/>
        </w:rPr>
        <w:t>uación final</w:t>
      </w:r>
      <w:r>
        <w:rPr>
          <w:rFonts w:ascii="Encode Sans" w:eastAsia="Encode Sans" w:hAnsi="Encode Sans" w:cs="Encode Sans"/>
          <w:color w:val="000000"/>
        </w:rPr>
        <w:t>. Se exceptúan: el Campo de la Práctica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Docente o las Prácticas Profesionalizantes, Talleres, Seminarios, Laboratorio y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Ateneos los cuales se recursan en caso de no acreditación por promoción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directa.</w:t>
      </w:r>
    </w:p>
    <w:p w:rsidR="0004257C" w:rsidRDefault="00FB59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 xml:space="preserve">en </w:t>
      </w:r>
      <w:r>
        <w:rPr>
          <w:rFonts w:ascii="Encode Sans" w:eastAsia="Encode Sans" w:hAnsi="Encode Sans" w:cs="Encode Sans"/>
          <w:b/>
          <w:color w:val="000000"/>
        </w:rPr>
        <w:t xml:space="preserve">carácter de libre. </w:t>
      </w:r>
      <w:r>
        <w:rPr>
          <w:rFonts w:ascii="Encode Sans" w:eastAsia="Encode Sans" w:hAnsi="Encode Sans" w:cs="Encode Sans"/>
          <w:color w:val="000000"/>
        </w:rPr>
        <w:t>Se exceptúan: el Camp</w:t>
      </w:r>
      <w:r>
        <w:rPr>
          <w:rFonts w:ascii="Encode Sans" w:eastAsia="Encode Sans" w:hAnsi="Encode Sans" w:cs="Encode Sans"/>
          <w:color w:val="000000"/>
        </w:rPr>
        <w:t>o de la Práctica Docente o las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Prácticas Profesionalizantes y las Unidades Curriculares en formato Taller,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Ateneo, Laboratorio o Seminario.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Cada carrera tendrá </w:t>
      </w:r>
      <w:r>
        <w:rPr>
          <w:rFonts w:ascii="Encode Sans" w:eastAsia="Encode Sans" w:hAnsi="Encode Sans" w:cs="Encode Sans"/>
          <w:b/>
        </w:rPr>
        <w:t xml:space="preserve">un 70% </w:t>
      </w:r>
      <w:r>
        <w:rPr>
          <w:rFonts w:ascii="Encode Sans" w:eastAsia="Encode Sans" w:hAnsi="Encode Sans" w:cs="Encode Sans"/>
        </w:rPr>
        <w:t>de unidades curriculares cuya acreditación será por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promoción directa.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La definición de las unidades curriculares cuya acreditación sea por promoción directa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deberá contar con la autorización de la Dirección de nivel y de las modalidades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correspondientes.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Antes de la inscripción a cada cursada se deberá informar a las y los e</w:t>
      </w:r>
      <w:r>
        <w:rPr>
          <w:rFonts w:ascii="Encode Sans" w:eastAsia="Encode Sans" w:hAnsi="Encode Sans" w:cs="Encode Sans"/>
        </w:rPr>
        <w:t>studiantes el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modo de acreditación de las UC.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La acreditación se realizará por cada unidad curricular -Asignatura, Práctica Docente,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Práctica Profesionalizante, Talleres, Seminarios, Laboratorios y Ateneos, -entre otras conforme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los diseños curriculares, i</w:t>
      </w:r>
      <w:r>
        <w:rPr>
          <w:rFonts w:ascii="Encode Sans" w:eastAsia="Encode Sans" w:hAnsi="Encode Sans" w:cs="Encode Sans"/>
        </w:rPr>
        <w:t>ndependientemente de si la evaluación se realiza por campos o con unidades curriculares integradas.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 xml:space="preserve">Las condiciones para la acreditación </w:t>
      </w:r>
      <w:r>
        <w:rPr>
          <w:rFonts w:ascii="Encode Sans" w:eastAsia="Encode Sans" w:hAnsi="Encode Sans" w:cs="Encode Sans"/>
          <w:b/>
          <w:color w:val="000000"/>
        </w:rPr>
        <w:t xml:space="preserve">por promoción directa </w:t>
      </w:r>
      <w:r>
        <w:rPr>
          <w:rFonts w:ascii="Encode Sans" w:eastAsia="Encode Sans" w:hAnsi="Encode Sans" w:cs="Encode Sans"/>
          <w:color w:val="000000"/>
        </w:rPr>
        <w:t>(acreditación sin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instancia de evaluación final) son:</w:t>
      </w:r>
    </w:p>
    <w:p w:rsidR="0004257C" w:rsidRDefault="00FB59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asistencia (de acuerdo a lo pautado en el Capítulo 5 (</w:t>
      </w:r>
      <w:r>
        <w:rPr>
          <w:rFonts w:ascii="Encode Sans" w:eastAsia="Encode Sans" w:hAnsi="Encode Sans" w:cs="Encode Sans"/>
          <w:b/>
          <w:color w:val="000000"/>
        </w:rPr>
        <w:t>5.3, 5.4, 5.5</w:t>
      </w:r>
      <w:r>
        <w:rPr>
          <w:rFonts w:ascii="Encode Sans" w:eastAsia="Encode Sans" w:hAnsi="Encode Sans" w:cs="Encode Sans"/>
          <w:color w:val="000000"/>
        </w:rPr>
        <w:t>) del presente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Anexo).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b/>
          <w:color w:val="595959"/>
        </w:rPr>
      </w:pPr>
      <w:r>
        <w:rPr>
          <w:rFonts w:ascii="Encode Sans" w:eastAsia="Encode Sans" w:hAnsi="Encode Sans" w:cs="Encode Sans"/>
          <w:b/>
          <w:color w:val="595959"/>
        </w:rPr>
        <w:t>12</w:t>
      </w:r>
    </w:p>
    <w:p w:rsidR="0004257C" w:rsidRDefault="00FB59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obtener un mínimo de 7 (siete) puntos en la instancia de evaluación y la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instancia de recuperación (tanto por ausencia, desaprobación o por haber sido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calificado con una nota menor a 7).</w:t>
      </w:r>
    </w:p>
    <w:p w:rsidR="0004257C" w:rsidRDefault="00FB59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cumplir con los requisitos académicos propuestos por la/el docente a cargo de la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Unidad Curricular, en el marco del Proyecto Institucional de Evaluación.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Las y los estudiantes que obtengan una nota entre 4 (cuatro) y 6 (</w:t>
      </w:r>
      <w:r>
        <w:rPr>
          <w:rFonts w:ascii="Encode Sans" w:eastAsia="Encode Sans" w:hAnsi="Encode Sans" w:cs="Encode Sans"/>
          <w:color w:val="000000"/>
        </w:rPr>
        <w:t>seis) puntos, tendrán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la cursada aprobada y pasarán automáticamente al sistema de acreditación con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instancia de evaluación final.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Para las unidades curriculares cuatrimestrales se realizará el acto administrativo de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acreditación durante la instancia de eva</w:t>
      </w:r>
      <w:r>
        <w:rPr>
          <w:rFonts w:ascii="Encode Sans" w:eastAsia="Encode Sans" w:hAnsi="Encode Sans" w:cs="Encode Sans"/>
          <w:color w:val="000000"/>
        </w:rPr>
        <w:t>luación final inmediata a la finalización de la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cursada, por lo tanto, las UC que se cursan en el primer cuatrimestre lo harán durante el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período de exámenes posterior al receso de invierno.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Todas las instancias de evaluación previstas para la acreditación</w:t>
      </w:r>
      <w:r>
        <w:rPr>
          <w:rFonts w:ascii="Encode Sans" w:eastAsia="Encode Sans" w:hAnsi="Encode Sans" w:cs="Encode Sans"/>
          <w:color w:val="000000"/>
        </w:rPr>
        <w:t xml:space="preserve"> por promoción directa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color w:val="000000"/>
        </w:rPr>
      </w:pPr>
      <w:r>
        <w:rPr>
          <w:rFonts w:ascii="Encode Sans" w:eastAsia="Encode Sans" w:hAnsi="Encode Sans" w:cs="Encode Sans"/>
          <w:color w:val="000000"/>
        </w:rPr>
        <w:t>se realizarán durante el período de clases determinado en el calendario académico para el Nivel Superior.</w:t>
      </w:r>
    </w:p>
    <w:p w:rsidR="0004257C" w:rsidRDefault="0004257C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</w:rPr>
        <w:t xml:space="preserve">Para la </w:t>
      </w:r>
      <w:r>
        <w:rPr>
          <w:rFonts w:ascii="Encode Sans" w:eastAsia="Encode Sans" w:hAnsi="Encode Sans" w:cs="Encode Sans"/>
          <w:b/>
        </w:rPr>
        <w:t>acreditación de una UC en carácter de libre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Para acreditar una UC en carácter de </w:t>
      </w:r>
      <w:r>
        <w:rPr>
          <w:rFonts w:ascii="Encode Sans" w:eastAsia="Encode Sans" w:hAnsi="Encode Sans" w:cs="Encode Sans"/>
          <w:b/>
        </w:rPr>
        <w:t xml:space="preserve">libre </w:t>
      </w:r>
      <w:r>
        <w:rPr>
          <w:rFonts w:ascii="Encode Sans" w:eastAsia="Encode Sans" w:hAnsi="Encode Sans" w:cs="Encode Sans"/>
        </w:rPr>
        <w:t>las y los estudiantes podrán inscribirse en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todos los turnos ordinarios establecidos en el apartado </w:t>
      </w:r>
      <w:r>
        <w:rPr>
          <w:rFonts w:ascii="Encode Sans" w:eastAsia="Encode Sans" w:hAnsi="Encode Sans" w:cs="Encode Sans"/>
          <w:b/>
        </w:rPr>
        <w:t>8.7.1</w:t>
      </w:r>
      <w:r>
        <w:rPr>
          <w:rFonts w:ascii="Encode Sans" w:eastAsia="Encode Sans" w:hAnsi="Encode Sans" w:cs="Encode Sans"/>
        </w:rPr>
        <w:t>. Para acceder a esta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modalidad, se deberá cumplir como único requisito los establecidos para cursar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unidades curriculares correlativas en los diseños curriculares o en sus modificatorias.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La acreditación de UC en carácter de libre contempla una instancia de evaluación escrita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y una instancia de evaluación oral; o bien la interpretación o producción de pr</w:t>
      </w:r>
      <w:r>
        <w:rPr>
          <w:rFonts w:ascii="Encode Sans" w:eastAsia="Encode Sans" w:hAnsi="Encode Sans" w:cs="Encode Sans"/>
        </w:rPr>
        <w:t>ácticas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específicas cuando se trata de carreras de la modalidad artística o técnica. En cada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instancia se deberá obtener un mínimo de 4 (cuatro) puntos. La nota final surge como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promedio de ambas calificaciones. En caso de corresponder, se aplica la aproxi</w:t>
      </w:r>
      <w:r>
        <w:rPr>
          <w:rFonts w:ascii="Encode Sans" w:eastAsia="Encode Sans" w:hAnsi="Encode Sans" w:cs="Encode Sans"/>
        </w:rPr>
        <w:t>mación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por redondeo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Las unidades curriculares del Campo de la Práctica Docente, el Campo de la Práctica</w:t>
      </w:r>
    </w:p>
    <w:p w:rsidR="0004257C" w:rsidRDefault="00FB59C9">
      <w:pPr>
        <w:spacing w:after="0" w:line="24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Profesionalizante y aquellas con formato taller, seminario, ateneo y laboratorio no podrán acreditarse en carácter de libre.</w:t>
      </w:r>
    </w:p>
    <w:p w:rsidR="0004257C" w:rsidRDefault="0004257C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04257C" w:rsidRDefault="0004257C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04257C" w:rsidRDefault="0004257C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04257C" w:rsidRDefault="00FB59C9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SECUENCIA TEMPORAL DE TR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AYECTORIA</w:t>
      </w:r>
    </w:p>
    <w:p w:rsidR="0004257C" w:rsidRDefault="0004257C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pPr w:leftFromText="180" w:rightFromText="180" w:topFromText="180" w:bottomFromText="180" w:vertAnchor="text" w:tblpX="-555"/>
        <w:tblW w:w="97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9"/>
        <w:gridCol w:w="220"/>
        <w:gridCol w:w="220"/>
        <w:gridCol w:w="220"/>
        <w:gridCol w:w="220"/>
        <w:gridCol w:w="220"/>
        <w:gridCol w:w="450"/>
        <w:gridCol w:w="220"/>
        <w:gridCol w:w="220"/>
        <w:gridCol w:w="315"/>
        <w:gridCol w:w="407"/>
        <w:gridCol w:w="220"/>
        <w:gridCol w:w="220"/>
        <w:gridCol w:w="220"/>
        <w:gridCol w:w="476"/>
        <w:gridCol w:w="407"/>
        <w:gridCol w:w="220"/>
        <w:gridCol w:w="407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34"/>
      </w:tblGrid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SEMANAS</w:t>
            </w:r>
          </w:p>
        </w:tc>
      </w:tr>
      <w:tr w:rsidR="0004257C">
        <w:trPr>
          <w:trHeight w:val="10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25-03-25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01-04-25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08-04-25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15-04-25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22-04-25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29-04-25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06-05-25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13-05-25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20-05-25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27-05-25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03-06-25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10-06-25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17-06-25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24-06-25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01-07-25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08-07-25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15-07-25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22-07-25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29-07-25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05-08-25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12-08-25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19-08-25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26-08-25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02-09-25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09-09-25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16-09-25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23-09-25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30-09-25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07-10-25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14-10-25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21-10-25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28-10-25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04-11-25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11-11-25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18-11-25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12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CODIFICACION DE CONTENIDOS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  <w:t>VIRTUAL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  diagn.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virtual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virtual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diagn.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recup.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257C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57C" w:rsidRDefault="00FB59C9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4257C" w:rsidRDefault="00FB59C9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04257C" w:rsidRDefault="0004257C">
      <w:pPr>
        <w:rPr>
          <w:rFonts w:ascii="Encode Sans SemiBold" w:eastAsia="Encode Sans SemiBold" w:hAnsi="Encode Sans SemiBold" w:cs="Encode Sans SemiBold"/>
          <w:b/>
          <w:color w:val="F18D1D"/>
          <w:sz w:val="36"/>
          <w:szCs w:val="36"/>
        </w:rPr>
      </w:pPr>
    </w:p>
    <w:sectPr w:rsidR="0004257C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default"/>
  </w:font>
  <w:font w:name="Encode Sans">
    <w:charset w:val="00"/>
    <w:family w:val="auto"/>
    <w:pitch w:val="default"/>
  </w:font>
  <w:font w:name="Encode Sans Semi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E704A"/>
    <w:multiLevelType w:val="multilevel"/>
    <w:tmpl w:val="46F6D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C13B80"/>
    <w:multiLevelType w:val="multilevel"/>
    <w:tmpl w:val="E1260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7C"/>
    <w:rsid w:val="0004257C"/>
    <w:rsid w:val="00FB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F126A-AB5D-405C-BAAD-69D17BBC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B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C27A5"/>
    <w:pPr>
      <w:ind w:left="720"/>
      <w:contextualSpacing/>
    </w:pPr>
  </w:style>
  <w:style w:type="paragraph" w:customStyle="1" w:styleId="Default">
    <w:name w:val="Default"/>
    <w:rsid w:val="003E326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uv3um">
    <w:name w:val="uv3um"/>
    <w:basedOn w:val="Fuentedeprrafopredeter"/>
    <w:rsid w:val="009562B0"/>
  </w:style>
  <w:style w:type="paragraph" w:styleId="Textoindependiente">
    <w:name w:val="Body Text"/>
    <w:basedOn w:val="Normal"/>
    <w:link w:val="TextoindependienteCar"/>
    <w:rsid w:val="00B9191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91917"/>
    <w:rPr>
      <w:rFonts w:ascii="Arial" w:eastAsia="Times New Roman" w:hAnsi="Arial" w:cs="Arial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docs.google.com/presentation/d/1eDkcu-bxFmbzVuLmp3T8bNPS2gOQHqxT/edit?usp=sharing&amp;ouid=100168398258155371148&amp;rtpof=true&amp;s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hyperlink" Target="https://www.google.com.ar/books/edition/INTRODUCCI%C3%93N_A_LA_TEOR%C3%8DA_ECON%C3%93MICA_UN/u1DFsje4lMcC?hl=es-419&amp;gbpv=1&amp;dq=El%20problema%20del%20valor%20en%20las%20distintas%20corrientes%20te%C3%B3ricas%20cl%C3%A1sicas%20neocl%C3%A1sica%20y%20marxista&amp;pg=PA77&amp;printsec=frontcov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Rhjnq7lmcwOqTiW6yZZp9xJC_InT4fjX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CK2cOBO3Yi-YlHS5jamQ17X30r6ZC_Xu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UnZ0hWbxD7LF42C6f6bspXPaw==">CgMxLjA4AHIhMVJ5Z3BjcVVWcmVHcEpXN3FmM0dVWHp3cHNaakJsOUlh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Gonzalez</dc:creator>
  <cp:lastModifiedBy>Alumno</cp:lastModifiedBy>
  <cp:revision>2</cp:revision>
  <dcterms:created xsi:type="dcterms:W3CDTF">2025-06-09T23:43:00Z</dcterms:created>
  <dcterms:modified xsi:type="dcterms:W3CDTF">2025-06-09T23:43:00Z</dcterms:modified>
</cp:coreProperties>
</file>